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《高等数学》课程教学提纲</w:t>
      </w:r>
    </w:p>
    <w:p>
      <w:pPr>
        <w:widowControl/>
        <w:spacing w:beforeLines="50" w:after="100" w:afterAutospacing="1"/>
        <w:jc w:val="center"/>
        <w:rPr>
          <w:rFonts w:ascii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/>
          <w:sz w:val="28"/>
          <w:szCs w:val="28"/>
        </w:rPr>
        <w:t>《</w:t>
      </w:r>
      <w:r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Advanced Mathematics</w:t>
      </w:r>
      <w:r>
        <w:rPr>
          <w:rFonts w:hint="eastAsia" w:ascii="华文仿宋" w:hAnsi="华文仿宋" w:eastAsia="华文仿宋"/>
          <w:sz w:val="28"/>
          <w:szCs w:val="28"/>
        </w:rPr>
        <w:t>》</w:t>
      </w:r>
    </w:p>
    <w:p>
      <w:pPr>
        <w:pStyle w:val="6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一、课程基本信息（</w:t>
      </w:r>
      <w:r>
        <w:rPr>
          <w:rFonts w:ascii="华文仿宋" w:hAnsi="华文仿宋" w:eastAsia="华文仿宋"/>
          <w:b/>
          <w:bCs/>
          <w:sz w:val="24"/>
          <w:szCs w:val="24"/>
        </w:rPr>
        <w:t>Basic Information of Course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开课归属系部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ind w:left="47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基础部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开课归属专业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数学教研室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textDirection w:val="lrTb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学年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textDirection w:val="lrTb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2015-2016</w:t>
            </w:r>
          </w:p>
        </w:tc>
        <w:tc>
          <w:tcPr>
            <w:tcW w:w="1134" w:type="dxa"/>
            <w:textDirection w:val="lrTb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textDirection w:val="lrTb"/>
            <w:vAlign w:val="center"/>
          </w:tcPr>
          <w:p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hint="eastAsia" w:ascii="楷体_GB2312" w:hAnsi="华文仿宋" w:eastAsia="楷体_GB2312"/>
              </w:rPr>
              <w:t>√</w:t>
            </w:r>
            <w:r>
              <w:rPr>
                <w:rFonts w:hint="eastAsia" w:ascii="华文仿宋" w:hAnsi="华文仿宋" w:eastAsia="华文仿宋"/>
              </w:rPr>
              <w:t>□第一学期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>□第二学期</w:t>
            </w:r>
            <w:r>
              <w:rPr>
                <w:lang w:eastAsia="zh-TW"/>
              </w:rPr>
              <w:t>(Spring)</w:t>
            </w:r>
          </w:p>
          <w:p>
            <w:pPr>
              <w:snapToGrid w:val="0"/>
              <w:ind w:right="-108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课程名称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《高等数学》</w:t>
            </w:r>
          </w:p>
        </w:tc>
        <w:tc>
          <w:tcPr>
            <w:tcW w:w="1701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Course ID</w:t>
            </w:r>
          </w:p>
        </w:tc>
        <w:tc>
          <w:tcPr>
            <w:tcW w:w="1128" w:type="dxa"/>
            <w:textDirection w:val="lrTb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0411033</w:t>
            </w:r>
            <w:bookmarkStart w:id="0" w:name="_GoBack"/>
            <w:bookmarkEnd w:id="0"/>
          </w:p>
        </w:tc>
        <w:tc>
          <w:tcPr>
            <w:tcW w:w="1189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学分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课程英文名称</w:t>
            </w:r>
          </w:p>
        </w:tc>
        <w:tc>
          <w:tcPr>
            <w:tcW w:w="6120" w:type="dxa"/>
            <w:gridSpan w:val="4"/>
            <w:textDirection w:val="lrTb"/>
            <w:vAlign w:val="center"/>
          </w:tcPr>
          <w:p>
            <w:pPr>
              <w:jc w:val="center"/>
              <w:rPr>
                <w:rFonts w:hint="eastAsia" w:ascii="华文宋体" w:hAnsi="华文宋体" w:eastAsia="华文宋体"/>
                <w:szCs w:val="21"/>
                <w:lang w:eastAsia="zh-CN"/>
              </w:rPr>
            </w:pPr>
            <w:r>
              <w:rPr>
                <w:rFonts w:hint="eastAsia" w:ascii="华文宋体" w:hAnsi="华文宋体" w:eastAsia="华文宋体"/>
                <w:bCs/>
                <w:color w:val="000000"/>
                <w:kern w:val="0"/>
                <w:szCs w:val="21"/>
                <w:lang w:val="en-US" w:eastAsia="zh-CN"/>
              </w:rPr>
              <w:t>Advanced mathematics</w:t>
            </w:r>
          </w:p>
        </w:tc>
        <w:tc>
          <w:tcPr>
            <w:tcW w:w="1189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总学时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866" w:type="dxa"/>
            <w:vMerge w:val="restart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课程属性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1" o:spid="_x0000_s1026" style="position:absolute;left:0;margin-left:324.95pt;margin-top:9.55pt;height:20.1pt;width:89.5pt;rotation:0f;z-index:-251658240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级以前开设课程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□公共基础必修课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>□专业基础必修课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>□专业选修课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>□公共选修课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866" w:type="dxa"/>
            <w:vMerge w:val="continue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8398" w:type="dxa"/>
            <w:gridSpan w:val="6"/>
            <w:tcBorders>
              <w:top w:val="single" w:color="auto" w:sz="4" w:space="0"/>
            </w:tcBorders>
            <w:textDirection w:val="lrTb"/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楷体_GB2312" w:hAnsi="华文仿宋" w:eastAsia="楷体_GB2312"/>
              </w:rPr>
              <w:t>√</w:t>
            </w:r>
            <w:r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2" o:spid="_x0000_s1027" style="position:absolute;left:0;margin-left:330.65pt;margin-top:13.7pt;height:20.75pt;width:84.8pt;rotation:0f;z-index:-251657216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以后开设课程</w:t>
                        </w:r>
                      </w:p>
                      <w:p/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□通识基础课程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>□通识选修课程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>□专业基础课程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>□专业方向课程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□专业选修课程</w:t>
            </w:r>
          </w:p>
        </w:tc>
      </w:tr>
    </w:tbl>
    <w:p>
      <w:pPr>
        <w:pStyle w:val="6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6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二、任课教师基本信息（</w:t>
      </w:r>
      <w:r>
        <w:rPr>
          <w:rFonts w:ascii="华文仿宋" w:hAnsi="华文仿宋" w:eastAsia="华文仿宋"/>
          <w:b/>
          <w:bCs/>
          <w:sz w:val="24"/>
          <w:szCs w:val="24"/>
        </w:rPr>
        <w:t>Basic Information of Teachers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）</w:t>
      </w:r>
    </w:p>
    <w:tbl>
      <w:tblPr>
        <w:tblpPr w:leftFromText="180" w:rightFromText="180" w:vertAnchor="text" w:horzAnchor="margin" w:tblpXSpec="center" w:tblpY="140"/>
        <w:tblW w:w="99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restart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教师信息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18"/>
              </w:rPr>
              <w:t>Basic Information of Teachers</w:t>
            </w:r>
          </w:p>
        </w:tc>
        <w:tc>
          <w:tcPr>
            <w:tcW w:w="1701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姓名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Name</w:t>
            </w:r>
          </w:p>
        </w:tc>
        <w:tc>
          <w:tcPr>
            <w:tcW w:w="1684" w:type="dxa"/>
            <w:gridSpan w:val="2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吴爱娟</w:t>
            </w:r>
          </w:p>
        </w:tc>
        <w:tc>
          <w:tcPr>
            <w:tcW w:w="1417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性别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Gender</w:t>
            </w:r>
          </w:p>
        </w:tc>
        <w:tc>
          <w:tcPr>
            <w:tcW w:w="992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女</w:t>
            </w:r>
          </w:p>
        </w:tc>
        <w:tc>
          <w:tcPr>
            <w:tcW w:w="1236" w:type="dxa"/>
            <w:gridSpan w:val="2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所属部门</w:t>
            </w:r>
          </w:p>
        </w:tc>
        <w:tc>
          <w:tcPr>
            <w:tcW w:w="1806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基础部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textDirection w:val="lrTb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聘任方式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16"/>
              </w:rPr>
              <w:t xml:space="preserve">Recruitment Channel </w:t>
            </w:r>
          </w:p>
        </w:tc>
        <w:tc>
          <w:tcPr>
            <w:tcW w:w="7135" w:type="dxa"/>
            <w:gridSpan w:val="7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楷体_GB2312" w:hAnsi="华文仿宋" w:eastAsia="楷体_GB2312"/>
              </w:rPr>
              <w:t>√</w:t>
            </w:r>
            <w:r>
              <w:rPr>
                <w:rFonts w:hint="eastAsia" w:ascii="华文仿宋" w:hAnsi="华文仿宋" w:eastAsia="华文仿宋"/>
              </w:rPr>
              <w:t>□专职教师</w:t>
            </w:r>
            <w:r>
              <w:rPr>
                <w:rFonts w:ascii="华文仿宋" w:hAnsi="华文仿宋" w:eastAsia="华文仿宋"/>
              </w:rPr>
              <w:t xml:space="preserve">             </w:t>
            </w:r>
            <w:r>
              <w:rPr>
                <w:rFonts w:hint="eastAsia" w:ascii="华文仿宋" w:hAnsi="华文仿宋" w:eastAsia="华文仿宋"/>
              </w:rPr>
              <w:t>□外聘教师</w:t>
            </w:r>
            <w:r>
              <w:rPr>
                <w:rFonts w:ascii="华文仿宋" w:hAnsi="华文仿宋" w:eastAsia="华文仿宋"/>
              </w:rPr>
              <w:t xml:space="preserve">             </w:t>
            </w:r>
            <w:r>
              <w:rPr>
                <w:rFonts w:hint="eastAsia" w:ascii="华文仿宋" w:hAnsi="华文仿宋" w:eastAsia="华文仿宋"/>
              </w:rPr>
              <w:t>□行政兼职教师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textDirection w:val="lrTb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职称</w:t>
            </w:r>
            <w:r>
              <w:rPr>
                <w:rFonts w:ascii="华文仿宋" w:hAnsi="华文仿宋" w:eastAsia="华文仿宋"/>
              </w:rPr>
              <w:t>Title</w:t>
            </w:r>
          </w:p>
        </w:tc>
        <w:tc>
          <w:tcPr>
            <w:tcW w:w="7135" w:type="dxa"/>
            <w:gridSpan w:val="7"/>
            <w:textDirection w:val="lrTb"/>
            <w:vAlign w:val="center"/>
          </w:tcPr>
          <w:p>
            <w:pPr>
              <w:spacing w:line="280" w:lineRule="exact"/>
              <w:ind w:firstLine="31680" w:firstLineChars="50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□教授</w:t>
            </w:r>
            <w:r>
              <w:rPr>
                <w:rFonts w:ascii="华文仿宋" w:hAnsi="华文仿宋" w:eastAsia="华文仿宋"/>
              </w:rPr>
              <w:t xml:space="preserve">    </w:t>
            </w:r>
            <w:r>
              <w:rPr>
                <w:rFonts w:hint="eastAsia" w:ascii="华文仿宋" w:hAnsi="华文仿宋" w:eastAsia="华文仿宋"/>
              </w:rPr>
              <w:t>□副教授</w:t>
            </w:r>
            <w:r>
              <w:rPr>
                <w:rFonts w:ascii="华文仿宋" w:hAnsi="华文仿宋" w:eastAsia="华文仿宋"/>
              </w:rPr>
              <w:t xml:space="preserve">    </w:t>
            </w:r>
            <w:r>
              <w:rPr>
                <w:rFonts w:hint="eastAsia" w:ascii="楷体_GB2312" w:hAnsi="华文仿宋" w:eastAsia="楷体_GB2312"/>
              </w:rPr>
              <w:t>√</w:t>
            </w:r>
            <w:r>
              <w:rPr>
                <w:rFonts w:hint="eastAsia" w:ascii="华文仿宋" w:hAnsi="华文仿宋" w:eastAsia="华文仿宋"/>
              </w:rPr>
              <w:t>□讲师</w:t>
            </w:r>
            <w:r>
              <w:rPr>
                <w:rFonts w:ascii="华文仿宋" w:hAnsi="华文仿宋" w:eastAsia="华文仿宋"/>
              </w:rPr>
              <w:t xml:space="preserve">    </w:t>
            </w:r>
            <w:r>
              <w:rPr>
                <w:rFonts w:hint="eastAsia" w:ascii="华文仿宋" w:hAnsi="华文仿宋" w:eastAsia="华文仿宋"/>
              </w:rPr>
              <w:t>□助教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>□其他</w:t>
            </w:r>
            <w:r>
              <w:rPr>
                <w:rFonts w:ascii="华文仿宋" w:hAnsi="华文仿宋" w:eastAsia="华文仿宋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textDirection w:val="lrTb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最高学历</w:t>
            </w:r>
            <w:r>
              <w:rPr>
                <w:rFonts w:ascii="华文仿宋" w:hAnsi="华文仿宋" w:eastAsia="华文仿宋"/>
              </w:rPr>
              <w:t>/</w:t>
            </w:r>
            <w:r>
              <w:rPr>
                <w:rFonts w:hint="eastAsia" w:ascii="华文仿宋" w:hAnsi="华文仿宋" w:eastAsia="华文仿宋"/>
              </w:rPr>
              <w:t>学位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Degree</w:t>
            </w:r>
          </w:p>
        </w:tc>
        <w:tc>
          <w:tcPr>
            <w:tcW w:w="3101" w:type="dxa"/>
            <w:gridSpan w:val="3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硕士</w:t>
            </w:r>
          </w:p>
        </w:tc>
        <w:tc>
          <w:tcPr>
            <w:tcW w:w="2013" w:type="dxa"/>
            <w:gridSpan w:val="2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>业</w:t>
            </w:r>
            <w:r>
              <w:rPr>
                <w:rFonts w:ascii="华文仿宋" w:hAnsi="华文仿宋" w:eastAsia="华文仿宋"/>
              </w:rPr>
              <w:t>Major</w:t>
            </w:r>
          </w:p>
        </w:tc>
        <w:tc>
          <w:tcPr>
            <w:tcW w:w="2021" w:type="dxa"/>
            <w:gridSpan w:val="2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概率统计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textDirection w:val="lrTb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办公电话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移动电话</w:t>
            </w:r>
          </w:p>
        </w:tc>
        <w:tc>
          <w:tcPr>
            <w:tcW w:w="3101" w:type="dxa"/>
            <w:gridSpan w:val="3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010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-</w:t>
            </w:r>
            <w:r>
              <w:rPr>
                <w:rFonts w:ascii="华文仿宋" w:hAnsi="华文仿宋" w:eastAsia="华文仿宋"/>
              </w:rPr>
              <w:t>69590996</w:t>
            </w:r>
          </w:p>
        </w:tc>
        <w:tc>
          <w:tcPr>
            <w:tcW w:w="2013" w:type="dxa"/>
            <w:gridSpan w:val="2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办公室地址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No.</w:t>
            </w:r>
          </w:p>
        </w:tc>
        <w:tc>
          <w:tcPr>
            <w:tcW w:w="2021" w:type="dxa"/>
            <w:gridSpan w:val="2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1A</w:t>
            </w:r>
            <w:r>
              <w:rPr>
                <w:rFonts w:hint="eastAsia" w:ascii="华文仿宋" w:hAnsi="华文仿宋" w:eastAsia="华文仿宋"/>
              </w:rPr>
              <w:t>办</w:t>
            </w:r>
            <w:r>
              <w:rPr>
                <w:rFonts w:ascii="华文仿宋" w:hAnsi="华文仿宋" w:eastAsia="华文仿宋"/>
              </w:rPr>
              <w:t>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textDirection w:val="lrTb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答疑时间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Hours</w:t>
            </w:r>
          </w:p>
        </w:tc>
        <w:tc>
          <w:tcPr>
            <w:tcW w:w="3101" w:type="dxa"/>
            <w:gridSpan w:val="3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周二下午</w:t>
            </w:r>
          </w:p>
        </w:tc>
        <w:tc>
          <w:tcPr>
            <w:tcW w:w="2013" w:type="dxa"/>
            <w:gridSpan w:val="2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电子邮箱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E-mail</w:t>
            </w:r>
          </w:p>
        </w:tc>
        <w:tc>
          <w:tcPr>
            <w:tcW w:w="2021" w:type="dxa"/>
            <w:gridSpan w:val="2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</w:rPr>
            </w:pPr>
            <w:r>
              <w:rPr>
                <w:rFonts w:hint="eastAsia" w:ascii="华文仿宋" w:hAnsi="华文仿宋" w:eastAsia="华文仿宋"/>
                <w:sz w:val="16"/>
                <w:lang w:val="en-US" w:eastAsia="zh-CN"/>
              </w:rPr>
              <w:t>147382348</w:t>
            </w:r>
            <w:r>
              <w:rPr>
                <w:rFonts w:ascii="华文仿宋" w:hAnsi="华文仿宋" w:eastAsia="华文仿宋"/>
                <w:sz w:val="16"/>
              </w:rPr>
              <w:t>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textDirection w:val="lrTb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答疑地点</w:t>
            </w:r>
          </w:p>
        </w:tc>
        <w:tc>
          <w:tcPr>
            <w:tcW w:w="3101" w:type="dxa"/>
            <w:gridSpan w:val="3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1A</w:t>
            </w:r>
            <w:r>
              <w:rPr>
                <w:rFonts w:hint="eastAsia" w:ascii="华文仿宋" w:hAnsi="华文仿宋" w:eastAsia="华文仿宋"/>
              </w:rPr>
              <w:t>办</w:t>
            </w:r>
            <w:r>
              <w:rPr>
                <w:rFonts w:ascii="华文仿宋" w:hAnsi="华文仿宋" w:eastAsia="华文仿宋"/>
              </w:rPr>
              <w:t>302</w:t>
            </w:r>
          </w:p>
        </w:tc>
        <w:tc>
          <w:tcPr>
            <w:tcW w:w="2013" w:type="dxa"/>
            <w:gridSpan w:val="2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QQ</w:t>
            </w:r>
            <w:r>
              <w:rPr>
                <w:rFonts w:hint="eastAsia" w:ascii="华文仿宋" w:hAnsi="华文仿宋" w:eastAsia="华文仿宋"/>
              </w:rPr>
              <w:t>或者飞信</w:t>
            </w:r>
          </w:p>
        </w:tc>
        <w:tc>
          <w:tcPr>
            <w:tcW w:w="2021" w:type="dxa"/>
            <w:gridSpan w:val="2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</w:rPr>
            </w:pPr>
            <w:r>
              <w:rPr>
                <w:rFonts w:hint="eastAsia" w:ascii="华文仿宋" w:hAnsi="华文仿宋" w:eastAsia="华文仿宋"/>
                <w:sz w:val="16"/>
                <w:lang w:val="en-US" w:eastAsia="zh-CN"/>
              </w:rPr>
              <w:t>147382348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textDirection w:val="lrTb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563" w:type="dxa"/>
            <w:gridSpan w:val="2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是否具有高校教师资格证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textDirection w:val="lrTb"/>
            <w:vAlign w:val="center"/>
          </w:tcPr>
          <w:p>
            <w:pPr>
              <w:spacing w:line="280" w:lineRule="exact"/>
              <w:ind w:firstLine="31680" w:firstLineChars="10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楷体_GB2312" w:hAnsi="华文仿宋" w:eastAsia="楷体_GB2312"/>
              </w:rPr>
              <w:t>√</w:t>
            </w:r>
            <w:r>
              <w:rPr>
                <w:rFonts w:hint="eastAsia" w:ascii="华文仿宋" w:hAnsi="华文仿宋" w:eastAsia="华文仿宋"/>
              </w:rPr>
              <w:t>□是</w:t>
            </w:r>
            <w:r>
              <w:rPr>
                <w:rFonts w:ascii="华文仿宋" w:hAnsi="华文仿宋" w:eastAsia="华文仿宋"/>
              </w:rPr>
              <w:t xml:space="preserve">       </w:t>
            </w:r>
            <w:r>
              <w:rPr>
                <w:rFonts w:hint="eastAsia" w:ascii="华文仿宋" w:hAnsi="华文仿宋" w:eastAsia="华文仿宋"/>
              </w:rPr>
              <w:t>□否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pStyle w:val="6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三、课程简介及教学目的（</w:t>
      </w:r>
      <w:r>
        <w:rPr>
          <w:rFonts w:ascii="华文仿宋" w:hAnsi="华文仿宋" w:eastAsia="华文仿宋"/>
          <w:b/>
          <w:bCs/>
          <w:sz w:val="24"/>
          <w:szCs w:val="24"/>
        </w:rPr>
        <w:t>Course description and purpose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）</w:t>
      </w:r>
    </w:p>
    <w:tbl>
      <w:tblPr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  <w:textDirection w:val="lrTb"/>
            <w:vAlign w:val="top"/>
          </w:tcPr>
          <w:p>
            <w:pPr>
              <w:ind w:firstLine="31680" w:firstLineChars="100"/>
              <w:rPr>
                <w:color w:val="525152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随着信息技术发展，大数据时代的到来，数学科学已与自然科学、社会科学并列为三大基础科学。数学正日益成为各学科进行科学研究的重要手段和工具。《高等数学》是近现代数学的基础，在大学教育中占有极为稳固的重要地位，它在高素质人才的培养过程中的重要作用不言而喻，是理科各专业和经济管理专业类学生的必修课，是培养学生掌握科学思维能力、掌握数学知识和数学技术的重要基础课程。本课程所论及的科学思想和方法论，在自然科学、工程技术、经济和社会科学等领域中具有广泛应用和强劲的活力。因此学好这门课程对学生今后的发展是至关重要的。</w:t>
            </w:r>
          </w:p>
          <w:p>
            <w:pPr>
              <w:ind w:firstLine="31680" w:firstLineChars="100"/>
              <w:rPr>
                <w:szCs w:val="21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课程教学的主要目的：通过本课程的学习，使学生掌握高等数学的基本概念、基本理论和基本运算技能，为学习后续课程和进一步获得数学知识奠定必要的数学基础；通过各个教学环节逐步培养学生的抽象思维能力、逻辑推理能力、空间想象能力、自学能力和科学思维能力，培养学生利用微积分这一数学工具解决专业知识问题、解决实际问题，从而达到培养学生应用能力的目的；培养学生学会建立数学模型，具备用数学学方法解释自然规律探索自然界奥秘的科学思维能力。</w:t>
            </w:r>
          </w:p>
        </w:tc>
      </w:tr>
    </w:tbl>
    <w:p>
      <w:pPr>
        <w:pStyle w:val="6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四、课程学习目标及学习效果</w:t>
      </w:r>
      <w:r>
        <w:rPr>
          <w:rFonts w:ascii="华文仿宋" w:hAnsi="华文仿宋" w:eastAsia="华文仿宋"/>
          <w:b/>
          <w:bCs/>
          <w:sz w:val="24"/>
          <w:szCs w:val="24"/>
        </w:rPr>
        <w:t>(Course objectives/ Learning outcomes)</w:t>
      </w:r>
    </w:p>
    <w:tbl>
      <w:tblPr>
        <w:tblW w:w="9378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3" w:hRule="atLeast"/>
        </w:trPr>
        <w:tc>
          <w:tcPr>
            <w:tcW w:w="9378" w:type="dxa"/>
            <w:textDirection w:val="lrTb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注：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请根据课程性质及特点，按创建、评估、分析、应用、了解、记住六个层次说明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第一章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函数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1.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掌握区间、邻域、函数概念，熟练掌握基本初等函数的表达式和简单性质；</w:t>
            </w:r>
            <w:r>
              <w:rPr>
                <w:rFonts w:ascii="仿宋_GB2312" w:hAnsi="仿宋_GB2312" w:eastAsia="仿宋_GB2312" w:cs="仿宋_GB2312"/>
                <w:szCs w:val="21"/>
              </w:rPr>
              <w:t>2.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理解复合函数的概念，了解反函数及隐函数的概念；</w:t>
            </w:r>
            <w:r>
              <w:rPr>
                <w:rFonts w:ascii="仿宋_GB2312" w:hAnsi="仿宋_GB2312" w:eastAsia="仿宋_GB2312" w:cs="仿宋_GB2312"/>
                <w:szCs w:val="21"/>
              </w:rPr>
              <w:t>3.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了解常用的初等函数。</w:t>
            </w: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第二章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极限与连续</w:t>
            </w: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1.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了解函数极限、数列极限的描述性定义；</w:t>
            </w:r>
            <w:r>
              <w:rPr>
                <w:rFonts w:ascii="仿宋_GB2312" w:hAnsi="仿宋_GB2312" w:eastAsia="仿宋_GB2312" w:cs="仿宋_GB2312"/>
                <w:szCs w:val="21"/>
              </w:rPr>
              <w:t>2.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理解无穷小量和无穷大量的概念，会用无穷小量求极限；</w:t>
            </w:r>
            <w:r>
              <w:rPr>
                <w:rFonts w:ascii="仿宋_GB2312" w:hAnsi="仿宋_GB2312" w:eastAsia="仿宋_GB2312" w:cs="仿宋_GB2312"/>
                <w:szCs w:val="21"/>
              </w:rPr>
              <w:t>3.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掌握极限的四则元素法则；</w:t>
            </w:r>
            <w:r>
              <w:rPr>
                <w:rFonts w:ascii="仿宋_GB2312" w:hAnsi="仿宋_GB2312" w:eastAsia="仿宋_GB2312" w:cs="仿宋_GB2312"/>
                <w:szCs w:val="21"/>
              </w:rPr>
              <w:t>4.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了解两个重要极限，应用重要极限计算简单初等函数的极限；</w:t>
            </w:r>
            <w:r>
              <w:rPr>
                <w:rFonts w:ascii="仿宋_GB2312" w:hAnsi="仿宋_GB2312" w:eastAsia="仿宋_GB2312" w:cs="仿宋_GB2312"/>
                <w:szCs w:val="21"/>
              </w:rPr>
              <w:t>5.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理解连续函数的定义，间断点的概念。</w:t>
            </w: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第三章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导数与微分</w:t>
            </w: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1.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理解导数的概念及其几何意义，了解导数在经济学中的简单应用；</w:t>
            </w:r>
            <w:r>
              <w:rPr>
                <w:rFonts w:ascii="仿宋_GB2312" w:hAnsi="仿宋_GB2312" w:eastAsia="仿宋_GB2312" w:cs="仿宋_GB2312"/>
                <w:szCs w:val="21"/>
              </w:rPr>
              <w:t>2.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掌握导数的四则运算法则和复合函数的求导法则；</w:t>
            </w:r>
            <w:r>
              <w:rPr>
                <w:rFonts w:ascii="仿宋_GB2312" w:hAnsi="仿宋_GB2312" w:eastAsia="仿宋_GB2312" w:cs="仿宋_GB2312"/>
                <w:szCs w:val="21"/>
              </w:rPr>
              <w:t>3.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掌握基本初等函数的导数公式；</w:t>
            </w:r>
            <w:r>
              <w:rPr>
                <w:rFonts w:ascii="仿宋_GB2312" w:hAnsi="仿宋_GB2312" w:eastAsia="仿宋_GB2312" w:cs="仿宋_GB2312"/>
                <w:szCs w:val="21"/>
              </w:rPr>
              <w:t>4.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理解微分的概念，了解微分在经济学中的简单应用。</w:t>
            </w: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第四章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中值定理与导数的应用</w:t>
            </w: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1.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了解三个中值定理；</w:t>
            </w:r>
            <w:r>
              <w:rPr>
                <w:rFonts w:ascii="仿宋_GB2312" w:hAnsi="仿宋_GB2312" w:eastAsia="仿宋_GB2312" w:cs="仿宋_GB2312"/>
                <w:szCs w:val="21"/>
              </w:rPr>
              <w:t>2.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掌握用洛必达法则求未定式极限的方法；</w:t>
            </w:r>
            <w:r>
              <w:rPr>
                <w:rFonts w:ascii="仿宋_GB2312" w:hAnsi="仿宋_GB2312" w:eastAsia="仿宋_GB2312" w:cs="仿宋_GB2312"/>
                <w:szCs w:val="21"/>
              </w:rPr>
              <w:t>3.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理解函数极值的概念，掌握用导数判断函数单调性和极值的方法；</w:t>
            </w:r>
            <w:r>
              <w:rPr>
                <w:rFonts w:ascii="仿宋_GB2312" w:hAnsi="仿宋_GB2312" w:eastAsia="仿宋_GB2312" w:cs="仿宋_GB2312"/>
                <w:szCs w:val="21"/>
              </w:rPr>
              <w:t>4.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了解函数最大值、最小值的求法及其简单应用。</w:t>
            </w: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第五章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不定积分</w:t>
            </w:r>
          </w:p>
          <w:p>
            <w:pPr>
              <w:spacing w:line="360" w:lineRule="auto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1.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理解原函数、不定积分的概念；</w:t>
            </w:r>
            <w:r>
              <w:rPr>
                <w:rFonts w:ascii="仿宋_GB2312" w:hAnsi="仿宋_GB2312" w:eastAsia="仿宋_GB2312" w:cs="仿宋_GB2312"/>
                <w:szCs w:val="21"/>
              </w:rPr>
              <w:t>2.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了解不定积分的性质；</w:t>
            </w:r>
            <w:r>
              <w:rPr>
                <w:rFonts w:ascii="仿宋_GB2312" w:hAnsi="仿宋_GB2312" w:eastAsia="仿宋_GB2312" w:cs="仿宋_GB2312"/>
                <w:szCs w:val="21"/>
              </w:rPr>
              <w:t>3.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掌握不定积分的基本公式；</w:t>
            </w:r>
            <w:r>
              <w:rPr>
                <w:rFonts w:ascii="仿宋_GB2312" w:hAnsi="仿宋_GB2312" w:eastAsia="仿宋_GB2312" w:cs="仿宋_GB2312"/>
                <w:szCs w:val="21"/>
              </w:rPr>
              <w:t>4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掌握不定积分的第一类和第二类换元积分法；</w:t>
            </w:r>
            <w:r>
              <w:rPr>
                <w:rFonts w:ascii="仿宋_GB2312" w:hAnsi="仿宋_GB2312" w:eastAsia="仿宋_GB2312" w:cs="仿宋_GB2312"/>
                <w:szCs w:val="21"/>
              </w:rPr>
              <w:t>5.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掌握不定积分的分部积分法；</w:t>
            </w:r>
            <w:r>
              <w:rPr>
                <w:rFonts w:ascii="仿宋_GB2312" w:hAnsi="仿宋_GB2312" w:eastAsia="仿宋_GB2312" w:cs="仿宋_GB2312"/>
                <w:szCs w:val="21"/>
              </w:rPr>
              <w:t>6.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了解不定积分的简单应用。</w:t>
            </w:r>
          </w:p>
        </w:tc>
      </w:tr>
    </w:tbl>
    <w:p>
      <w:pPr>
        <w:pStyle w:val="6"/>
        <w:ind w:firstLine="0" w:firstLineChars="0"/>
        <w:jc w:val="left"/>
        <w:rPr>
          <w:rFonts w:ascii="华文仿宋" w:hAnsi="华文仿宋" w:eastAsia="华文仿宋"/>
          <w:sz w:val="28"/>
          <w:szCs w:val="28"/>
        </w:r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pgSz w:w="11906" w:h="16838"/>
          <w:pgMar w:top="1440" w:right="1800" w:bottom="1135" w:left="1800" w:header="851" w:footer="992" w:gutter="0"/>
          <w:cols w:space="720" w:num="1"/>
          <w:docGrid w:type="lines" w:linePitch="312" w:charSpace="0"/>
        </w:sectPr>
      </w:pPr>
    </w:p>
    <w:p>
      <w:pPr>
        <w:widowControl/>
        <w:spacing w:line="360" w:lineRule="auto"/>
        <w:ind w:left="48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五、课程内容及教学进度表（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 xml:space="preserve">Course content and scheule 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00"/>
        <w:gridCol w:w="4667"/>
        <w:gridCol w:w="1316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extDirection w:val="lrTb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教学周次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Week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日期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Date</w:t>
            </w:r>
          </w:p>
        </w:tc>
        <w:tc>
          <w:tcPr>
            <w:tcW w:w="4667" w:type="dxa"/>
            <w:textDirection w:val="lrTb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章节题目及内容提要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Topic &amp; Abstract</w:t>
            </w:r>
          </w:p>
        </w:tc>
        <w:tc>
          <w:tcPr>
            <w:tcW w:w="1316" w:type="dxa"/>
            <w:textDirection w:val="lrTb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授课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方式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学时</w:t>
            </w:r>
          </w:p>
        </w:tc>
        <w:tc>
          <w:tcPr>
            <w:tcW w:w="1080" w:type="dxa"/>
            <w:textDirection w:val="lrTb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作业、练习及测验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</w:t>
            </w:r>
            <w:r>
              <w:rPr>
                <w:rFonts w:ascii="华文仿宋" w:hAnsi="华文仿宋" w:eastAsia="华文仿宋"/>
              </w:rPr>
              <w:t>1</w:t>
            </w:r>
            <w:r>
              <w:rPr>
                <w:rFonts w:hint="eastAsia" w:ascii="华文仿宋" w:hAnsi="华文仿宋" w:eastAsia="华文仿宋"/>
              </w:rPr>
              <w:t>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9.7-9.13</w:t>
            </w:r>
          </w:p>
        </w:tc>
        <w:tc>
          <w:tcPr>
            <w:tcW w:w="466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第一章函数</w:t>
            </w:r>
          </w:p>
        </w:tc>
        <w:tc>
          <w:tcPr>
            <w:tcW w:w="1316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extDirection w:val="lrTb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</w:t>
            </w:r>
            <w:r>
              <w:rPr>
                <w:rFonts w:ascii="华文仿宋" w:hAnsi="华文仿宋" w:eastAsia="华文仿宋"/>
              </w:rPr>
              <w:t>2</w:t>
            </w:r>
            <w:r>
              <w:rPr>
                <w:rFonts w:hint="eastAsia" w:ascii="华文仿宋" w:hAnsi="华文仿宋" w:eastAsia="华文仿宋"/>
              </w:rPr>
              <w:t>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9.14-9.20</w:t>
            </w:r>
          </w:p>
        </w:tc>
        <w:tc>
          <w:tcPr>
            <w:tcW w:w="466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第二章极限与连续</w:t>
            </w:r>
            <w:r>
              <w:rPr>
                <w:rFonts w:ascii="华文仿宋" w:hAnsi="华文仿宋" w:eastAsia="华文仿宋"/>
              </w:rPr>
              <w:t>2.1</w:t>
            </w:r>
            <w:r>
              <w:rPr>
                <w:rFonts w:hint="eastAsia" w:ascii="华文仿宋" w:hAnsi="华文仿宋" w:eastAsia="华文仿宋"/>
              </w:rPr>
              <w:t>数列的极限</w:t>
            </w:r>
            <w:r>
              <w:rPr>
                <w:rFonts w:ascii="华文仿宋" w:hAnsi="华文仿宋" w:eastAsia="华文仿宋"/>
              </w:rPr>
              <w:t>2.2</w:t>
            </w:r>
            <w:r>
              <w:rPr>
                <w:rFonts w:hint="eastAsia" w:ascii="华文仿宋" w:hAnsi="华文仿宋" w:eastAsia="华文仿宋"/>
              </w:rPr>
              <w:t>函数的极限</w:t>
            </w:r>
            <w:r>
              <w:rPr>
                <w:rFonts w:ascii="华文仿宋" w:hAnsi="华文仿宋" w:eastAsia="华文仿宋"/>
              </w:rPr>
              <w:t>2.3 </w:t>
            </w:r>
            <w:r>
              <w:rPr>
                <w:rFonts w:hint="eastAsia" w:ascii="华文仿宋" w:hAnsi="华文仿宋" w:eastAsia="华文仿宋"/>
              </w:rPr>
              <w:t>变量的极限</w:t>
            </w:r>
          </w:p>
        </w:tc>
        <w:tc>
          <w:tcPr>
            <w:tcW w:w="1316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extDirection w:val="lrTb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</w:t>
            </w:r>
            <w:r>
              <w:rPr>
                <w:rFonts w:ascii="华文仿宋" w:hAnsi="华文仿宋" w:eastAsia="华文仿宋"/>
              </w:rPr>
              <w:t>3</w:t>
            </w:r>
            <w:r>
              <w:rPr>
                <w:rFonts w:hint="eastAsia" w:ascii="华文仿宋" w:hAnsi="华文仿宋" w:eastAsia="华文仿宋"/>
              </w:rPr>
              <w:t>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9.21-9.27</w:t>
            </w:r>
          </w:p>
        </w:tc>
        <w:tc>
          <w:tcPr>
            <w:tcW w:w="466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第二章极限与连续</w:t>
            </w:r>
            <w:r>
              <w:rPr>
                <w:rFonts w:ascii="华文仿宋" w:hAnsi="华文仿宋" w:eastAsia="华文仿宋"/>
              </w:rPr>
              <w:t>2.4</w:t>
            </w:r>
            <w:r>
              <w:rPr>
                <w:rFonts w:hint="eastAsia" w:ascii="华文仿宋" w:hAnsi="华文仿宋" w:eastAsia="华文仿宋"/>
              </w:rPr>
              <w:t>无穷大量与无穷小量</w:t>
            </w:r>
            <w:r>
              <w:rPr>
                <w:rFonts w:ascii="华文仿宋" w:hAnsi="华文仿宋" w:eastAsia="华文仿宋"/>
              </w:rPr>
              <w:t>2.5 </w:t>
            </w:r>
            <w:r>
              <w:rPr>
                <w:rFonts w:hint="eastAsia" w:ascii="华文仿宋" w:hAnsi="华文仿宋" w:eastAsia="华文仿宋"/>
              </w:rPr>
              <w:t>极限的运算法则</w:t>
            </w:r>
          </w:p>
        </w:tc>
        <w:tc>
          <w:tcPr>
            <w:tcW w:w="1316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extDirection w:val="lrTb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</w:t>
            </w:r>
            <w:r>
              <w:rPr>
                <w:rFonts w:ascii="华文仿宋" w:hAnsi="华文仿宋" w:eastAsia="华文仿宋"/>
              </w:rPr>
              <w:t>4</w:t>
            </w:r>
            <w:r>
              <w:rPr>
                <w:rFonts w:hint="eastAsia" w:ascii="华文仿宋" w:hAnsi="华文仿宋" w:eastAsia="华文仿宋"/>
              </w:rPr>
              <w:t>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9.28-10.4</w:t>
            </w:r>
          </w:p>
        </w:tc>
        <w:tc>
          <w:tcPr>
            <w:tcW w:w="466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第二章极限与连续</w:t>
            </w:r>
            <w:r>
              <w:rPr>
                <w:rFonts w:ascii="华文仿宋" w:hAnsi="华文仿宋" w:eastAsia="华文仿宋"/>
              </w:rPr>
              <w:t>2.6 </w:t>
            </w:r>
            <w:r>
              <w:rPr>
                <w:rFonts w:hint="eastAsia" w:ascii="华文仿宋" w:hAnsi="华文仿宋" w:eastAsia="华文仿宋"/>
              </w:rPr>
              <w:t>两个重要的极限</w:t>
            </w:r>
            <w:r>
              <w:rPr>
                <w:rFonts w:ascii="华文仿宋" w:hAnsi="华文仿宋" w:eastAsia="华文仿宋"/>
              </w:rPr>
              <w:t>2.7 </w:t>
            </w:r>
            <w:r>
              <w:rPr>
                <w:rFonts w:hint="eastAsia" w:ascii="华文仿宋" w:hAnsi="华文仿宋" w:eastAsia="华文仿宋"/>
              </w:rPr>
              <w:t>利用等价无穷小量代换求极限</w:t>
            </w:r>
          </w:p>
        </w:tc>
        <w:tc>
          <w:tcPr>
            <w:tcW w:w="1316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extDirection w:val="lrTb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</w:t>
            </w:r>
            <w:r>
              <w:rPr>
                <w:rFonts w:ascii="华文仿宋" w:hAnsi="华文仿宋" w:eastAsia="华文仿宋"/>
              </w:rPr>
              <w:t>5</w:t>
            </w:r>
            <w:r>
              <w:rPr>
                <w:rFonts w:hint="eastAsia" w:ascii="华文仿宋" w:hAnsi="华文仿宋" w:eastAsia="华文仿宋"/>
              </w:rPr>
              <w:t>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10.5-10.11</w:t>
            </w:r>
          </w:p>
        </w:tc>
        <w:tc>
          <w:tcPr>
            <w:tcW w:w="466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第二章极限与连续</w:t>
            </w:r>
            <w:r>
              <w:rPr>
                <w:rFonts w:ascii="华文仿宋" w:hAnsi="华文仿宋" w:eastAsia="华文仿宋"/>
              </w:rPr>
              <w:t>2.8 </w:t>
            </w:r>
            <w:r>
              <w:rPr>
                <w:rFonts w:hint="eastAsia" w:ascii="华文仿宋" w:hAnsi="华文仿宋" w:eastAsia="华文仿宋"/>
              </w:rPr>
              <w:t>函数的连续性</w:t>
            </w:r>
          </w:p>
        </w:tc>
        <w:tc>
          <w:tcPr>
            <w:tcW w:w="1316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extDirection w:val="lrTb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</w:t>
            </w:r>
            <w:r>
              <w:rPr>
                <w:rFonts w:ascii="华文仿宋" w:hAnsi="华文仿宋" w:eastAsia="华文仿宋"/>
              </w:rPr>
              <w:t>6</w:t>
            </w:r>
            <w:r>
              <w:rPr>
                <w:rFonts w:hint="eastAsia" w:ascii="华文仿宋" w:hAnsi="华文仿宋" w:eastAsia="华文仿宋"/>
              </w:rPr>
              <w:t>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 w:val="18"/>
                <w:szCs w:val="18"/>
              </w:rPr>
            </w:pPr>
            <w:r>
              <w:rPr>
                <w:rFonts w:ascii="华文仿宋" w:hAnsi="华文仿宋" w:eastAsia="华文仿宋"/>
                <w:sz w:val="18"/>
                <w:szCs w:val="18"/>
              </w:rPr>
              <w:t>10.12-10.18</w:t>
            </w:r>
          </w:p>
        </w:tc>
        <w:tc>
          <w:tcPr>
            <w:tcW w:w="466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第三章导数与微分</w:t>
            </w:r>
            <w:r>
              <w:rPr>
                <w:rFonts w:ascii="华文仿宋" w:hAnsi="华文仿宋" w:eastAsia="华文仿宋"/>
              </w:rPr>
              <w:t xml:space="preserve"> </w:t>
            </w:r>
          </w:p>
        </w:tc>
        <w:tc>
          <w:tcPr>
            <w:tcW w:w="1316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讲授加讨论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extDirection w:val="lrTb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</w:t>
            </w:r>
            <w:r>
              <w:rPr>
                <w:rFonts w:ascii="华文仿宋" w:hAnsi="华文仿宋" w:eastAsia="华文仿宋"/>
              </w:rPr>
              <w:t>7</w:t>
            </w:r>
            <w:r>
              <w:rPr>
                <w:rFonts w:hint="eastAsia" w:ascii="华文仿宋" w:hAnsi="华文仿宋" w:eastAsia="华文仿宋"/>
              </w:rPr>
              <w:t>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18"/>
                <w:szCs w:val="18"/>
              </w:rPr>
              <w:t>10.19-10.25</w:t>
            </w:r>
          </w:p>
        </w:tc>
        <w:tc>
          <w:tcPr>
            <w:tcW w:w="466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第四章中值定理与导数的应用</w:t>
            </w:r>
            <w:r>
              <w:rPr>
                <w:rFonts w:ascii="华文仿宋" w:hAnsi="华文仿宋" w:eastAsia="华文仿宋"/>
              </w:rPr>
              <w:t>4.1</w:t>
            </w:r>
            <w:r>
              <w:rPr>
                <w:rFonts w:hint="eastAsia" w:ascii="华文仿宋" w:hAnsi="华文仿宋" w:eastAsia="华文仿宋"/>
              </w:rPr>
              <w:t>中值定理</w:t>
            </w:r>
            <w:r>
              <w:rPr>
                <w:rFonts w:ascii="华文仿宋" w:hAnsi="华文仿宋" w:eastAsia="华文仿宋"/>
              </w:rPr>
              <w:t>4.2</w:t>
            </w:r>
            <w:r>
              <w:rPr>
                <w:rFonts w:hint="eastAsia" w:ascii="华文仿宋" w:hAnsi="华文仿宋" w:eastAsia="华文仿宋"/>
              </w:rPr>
              <w:t>洛必达法则</w:t>
            </w:r>
          </w:p>
        </w:tc>
        <w:tc>
          <w:tcPr>
            <w:tcW w:w="1316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extDirection w:val="lrTb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</w:t>
            </w:r>
            <w:r>
              <w:rPr>
                <w:rFonts w:ascii="华文仿宋" w:hAnsi="华文仿宋" w:eastAsia="华文仿宋"/>
              </w:rPr>
              <w:t>8</w:t>
            </w:r>
            <w:r>
              <w:rPr>
                <w:rFonts w:hint="eastAsia" w:ascii="华文仿宋" w:hAnsi="华文仿宋" w:eastAsia="华文仿宋"/>
              </w:rPr>
              <w:t>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10.26-11.1</w:t>
            </w:r>
          </w:p>
        </w:tc>
        <w:tc>
          <w:tcPr>
            <w:tcW w:w="466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第四章中值定理与导数的应用</w:t>
            </w:r>
            <w:r>
              <w:rPr>
                <w:rFonts w:ascii="华文仿宋" w:hAnsi="华文仿宋" w:eastAsia="华文仿宋"/>
              </w:rPr>
              <w:t>4.3</w:t>
            </w:r>
            <w:r>
              <w:rPr>
                <w:rFonts w:hint="eastAsia" w:ascii="华文仿宋" w:hAnsi="华文仿宋" w:eastAsia="华文仿宋"/>
              </w:rPr>
              <w:t>函数的增减性</w:t>
            </w:r>
            <w:r>
              <w:rPr>
                <w:rFonts w:ascii="华文仿宋" w:hAnsi="华文仿宋" w:eastAsia="华文仿宋"/>
              </w:rPr>
              <w:t>4.4</w:t>
            </w:r>
            <w:r>
              <w:rPr>
                <w:rFonts w:hint="eastAsia" w:ascii="华文仿宋" w:hAnsi="华文仿宋" w:eastAsia="华文仿宋"/>
              </w:rPr>
              <w:t>函数的极值</w:t>
            </w:r>
            <w:r>
              <w:rPr>
                <w:rFonts w:ascii="华文仿宋" w:hAnsi="华文仿宋" w:eastAsia="华文仿宋"/>
              </w:rPr>
              <w:t>4.5</w:t>
            </w:r>
            <w:r>
              <w:rPr>
                <w:rFonts w:hint="eastAsia" w:ascii="华文仿宋" w:hAnsi="华文仿宋" w:eastAsia="华文仿宋"/>
              </w:rPr>
              <w:t>最大值与最小值，极值的应用问题</w:t>
            </w:r>
          </w:p>
        </w:tc>
        <w:tc>
          <w:tcPr>
            <w:tcW w:w="1316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extDirection w:val="lrTb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</w:t>
            </w:r>
            <w:r>
              <w:rPr>
                <w:rFonts w:ascii="华文仿宋" w:hAnsi="华文仿宋" w:eastAsia="华文仿宋"/>
              </w:rPr>
              <w:t>9</w:t>
            </w:r>
            <w:r>
              <w:rPr>
                <w:rFonts w:hint="eastAsia" w:ascii="华文仿宋" w:hAnsi="华文仿宋" w:eastAsia="华文仿宋"/>
              </w:rPr>
              <w:t>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11.2-11.8</w:t>
            </w:r>
          </w:p>
        </w:tc>
        <w:tc>
          <w:tcPr>
            <w:tcW w:w="466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课堂测验</w:t>
            </w:r>
          </w:p>
        </w:tc>
        <w:tc>
          <w:tcPr>
            <w:tcW w:w="1316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extDirection w:val="lrTb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测验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</w:t>
            </w:r>
            <w:r>
              <w:rPr>
                <w:rFonts w:ascii="华文仿宋" w:hAnsi="华文仿宋" w:eastAsia="华文仿宋"/>
              </w:rPr>
              <w:t>10</w:t>
            </w:r>
            <w:r>
              <w:rPr>
                <w:rFonts w:hint="eastAsia" w:ascii="华文仿宋" w:hAnsi="华文仿宋" w:eastAsia="华文仿宋"/>
              </w:rPr>
              <w:t>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11.9-11.15</w:t>
            </w:r>
          </w:p>
        </w:tc>
        <w:tc>
          <w:tcPr>
            <w:tcW w:w="466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第五章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不定积分</w:t>
            </w:r>
            <w:r>
              <w:rPr>
                <w:rFonts w:ascii="华文仿宋" w:hAnsi="华文仿宋" w:eastAsia="华文仿宋"/>
              </w:rPr>
              <w:t>5.1</w:t>
            </w:r>
            <w:r>
              <w:rPr>
                <w:rFonts w:hint="eastAsia" w:ascii="华文仿宋" w:hAnsi="华文仿宋" w:eastAsia="华文仿宋"/>
              </w:rPr>
              <w:t>不定积分的概念</w:t>
            </w:r>
          </w:p>
        </w:tc>
        <w:tc>
          <w:tcPr>
            <w:tcW w:w="1316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extDirection w:val="lrTb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</w:t>
            </w:r>
            <w:r>
              <w:rPr>
                <w:rFonts w:ascii="华文仿宋" w:hAnsi="华文仿宋" w:eastAsia="华文仿宋"/>
              </w:rPr>
              <w:t>11</w:t>
            </w:r>
            <w:r>
              <w:rPr>
                <w:rFonts w:hint="eastAsia" w:ascii="华文仿宋" w:hAnsi="华文仿宋" w:eastAsia="华文仿宋"/>
              </w:rPr>
              <w:t>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 w:val="18"/>
                <w:szCs w:val="18"/>
              </w:rPr>
            </w:pPr>
            <w:r>
              <w:rPr>
                <w:rFonts w:ascii="华文仿宋" w:hAnsi="华文仿宋" w:eastAsia="华文仿宋"/>
                <w:sz w:val="18"/>
                <w:szCs w:val="18"/>
              </w:rPr>
              <w:t>11.16-11.22</w:t>
            </w:r>
          </w:p>
        </w:tc>
        <w:tc>
          <w:tcPr>
            <w:tcW w:w="466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第五章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不定积分</w:t>
            </w:r>
            <w:r>
              <w:rPr>
                <w:rFonts w:ascii="华文仿宋" w:hAnsi="华文仿宋" w:eastAsia="华文仿宋"/>
              </w:rPr>
              <w:t>5.2</w:t>
            </w:r>
            <w:r>
              <w:rPr>
                <w:rFonts w:hint="eastAsia" w:ascii="华文仿宋" w:hAnsi="华文仿宋" w:eastAsia="华文仿宋"/>
              </w:rPr>
              <w:t>不定积分的性质</w:t>
            </w:r>
          </w:p>
        </w:tc>
        <w:tc>
          <w:tcPr>
            <w:tcW w:w="1316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extDirection w:val="lrTb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</w:t>
            </w:r>
            <w:r>
              <w:rPr>
                <w:rFonts w:ascii="华文仿宋" w:hAnsi="华文仿宋" w:eastAsia="华文仿宋"/>
              </w:rPr>
              <w:t>12</w:t>
            </w:r>
            <w:r>
              <w:rPr>
                <w:rFonts w:hint="eastAsia" w:ascii="华文仿宋" w:hAnsi="华文仿宋" w:eastAsia="华文仿宋"/>
              </w:rPr>
              <w:t>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 w:val="18"/>
                <w:szCs w:val="18"/>
              </w:rPr>
            </w:pPr>
            <w:r>
              <w:rPr>
                <w:rFonts w:ascii="华文仿宋" w:hAnsi="华文仿宋" w:eastAsia="华文仿宋"/>
                <w:sz w:val="18"/>
                <w:szCs w:val="18"/>
              </w:rPr>
              <w:t>11.23-11.29</w:t>
            </w:r>
          </w:p>
        </w:tc>
        <w:tc>
          <w:tcPr>
            <w:tcW w:w="466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第五章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不定积分</w:t>
            </w:r>
            <w:r>
              <w:rPr>
                <w:rFonts w:ascii="华文仿宋" w:hAnsi="华文仿宋" w:eastAsia="华文仿宋"/>
              </w:rPr>
              <w:t>5.3</w:t>
            </w:r>
            <w:r>
              <w:rPr>
                <w:rFonts w:hint="eastAsia" w:ascii="华文仿宋" w:hAnsi="华文仿宋" w:eastAsia="华文仿宋"/>
              </w:rPr>
              <w:t>基本积分公式</w:t>
            </w:r>
          </w:p>
        </w:tc>
        <w:tc>
          <w:tcPr>
            <w:tcW w:w="1316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extDirection w:val="lrTb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</w:t>
            </w:r>
            <w:r>
              <w:rPr>
                <w:rFonts w:ascii="华文仿宋" w:hAnsi="华文仿宋" w:eastAsia="华文仿宋"/>
              </w:rPr>
              <w:t>13</w:t>
            </w:r>
            <w:r>
              <w:rPr>
                <w:rFonts w:hint="eastAsia" w:ascii="华文仿宋" w:hAnsi="华文仿宋" w:eastAsia="华文仿宋"/>
              </w:rPr>
              <w:t>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11.30-12.6</w:t>
            </w:r>
          </w:p>
        </w:tc>
        <w:tc>
          <w:tcPr>
            <w:tcW w:w="466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第五章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不定积分</w:t>
            </w:r>
            <w:r>
              <w:rPr>
                <w:rFonts w:ascii="华文仿宋" w:hAnsi="华文仿宋" w:eastAsia="华文仿宋"/>
              </w:rPr>
              <w:t>5.4</w:t>
            </w:r>
            <w:r>
              <w:rPr>
                <w:rFonts w:hint="eastAsia" w:ascii="华文仿宋" w:hAnsi="华文仿宋" w:eastAsia="华文仿宋"/>
              </w:rPr>
              <w:t>换元积分法</w:t>
            </w:r>
          </w:p>
        </w:tc>
        <w:tc>
          <w:tcPr>
            <w:tcW w:w="1316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extDirection w:val="lrTb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</w:t>
            </w:r>
            <w:r>
              <w:rPr>
                <w:rFonts w:ascii="华文仿宋" w:hAnsi="华文仿宋" w:eastAsia="华文仿宋"/>
              </w:rPr>
              <w:t>14</w:t>
            </w:r>
            <w:r>
              <w:rPr>
                <w:rFonts w:hint="eastAsia" w:ascii="华文仿宋" w:hAnsi="华文仿宋" w:eastAsia="华文仿宋"/>
              </w:rPr>
              <w:t>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12.7-12.13</w:t>
            </w:r>
          </w:p>
        </w:tc>
        <w:tc>
          <w:tcPr>
            <w:tcW w:w="466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第五章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不定积分</w:t>
            </w:r>
            <w:r>
              <w:rPr>
                <w:rFonts w:ascii="华文仿宋" w:hAnsi="华文仿宋" w:eastAsia="华文仿宋"/>
              </w:rPr>
              <w:t>5.5</w:t>
            </w:r>
            <w:r>
              <w:rPr>
                <w:rFonts w:hint="eastAsia" w:ascii="华文仿宋" w:hAnsi="华文仿宋" w:eastAsia="华文仿宋"/>
              </w:rPr>
              <w:t>分部积分法</w:t>
            </w:r>
          </w:p>
        </w:tc>
        <w:tc>
          <w:tcPr>
            <w:tcW w:w="1316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extDirection w:val="lrTb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</w:t>
            </w:r>
            <w:r>
              <w:rPr>
                <w:rFonts w:ascii="华文仿宋" w:hAnsi="华文仿宋" w:eastAsia="华文仿宋"/>
              </w:rPr>
              <w:t>15</w:t>
            </w:r>
            <w:r>
              <w:rPr>
                <w:rFonts w:hint="eastAsia" w:ascii="华文仿宋" w:hAnsi="华文仿宋" w:eastAsia="华文仿宋"/>
              </w:rPr>
              <w:t>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 w:val="18"/>
                <w:szCs w:val="18"/>
              </w:rPr>
            </w:pPr>
            <w:r>
              <w:rPr>
                <w:rFonts w:ascii="华文仿宋" w:hAnsi="华文仿宋" w:eastAsia="华文仿宋"/>
                <w:sz w:val="18"/>
                <w:szCs w:val="18"/>
              </w:rPr>
              <w:t>12.14-12.20</w:t>
            </w:r>
          </w:p>
        </w:tc>
        <w:tc>
          <w:tcPr>
            <w:tcW w:w="466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课堂测验</w:t>
            </w:r>
          </w:p>
        </w:tc>
        <w:tc>
          <w:tcPr>
            <w:tcW w:w="1316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extDirection w:val="lrTb"/>
            <w:vAlign w:val="center"/>
          </w:tcPr>
          <w:p>
            <w:pPr>
              <w:widowControl/>
              <w:rPr>
                <w:rFonts w:ascii="华文仿宋" w:hAnsi="华文仿宋" w:eastAsia="华文仿宋"/>
                <w:color w:val="000000"/>
                <w:kern w:val="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测验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第</w:t>
            </w:r>
            <w:r>
              <w:rPr>
                <w:rFonts w:ascii="华文仿宋" w:hAnsi="华文仿宋" w:eastAsia="华文仿宋"/>
              </w:rPr>
              <w:t>16</w:t>
            </w:r>
            <w:r>
              <w:rPr>
                <w:rFonts w:hint="eastAsia" w:ascii="华文仿宋" w:hAnsi="华文仿宋" w:eastAsia="华文仿宋"/>
              </w:rPr>
              <w:t>周</w:t>
            </w:r>
          </w:p>
        </w:tc>
        <w:tc>
          <w:tcPr>
            <w:tcW w:w="110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 w:val="18"/>
                <w:szCs w:val="18"/>
              </w:rPr>
            </w:pPr>
            <w:r>
              <w:rPr>
                <w:rFonts w:ascii="华文仿宋" w:hAnsi="华文仿宋" w:eastAsia="华文仿宋"/>
                <w:sz w:val="18"/>
                <w:szCs w:val="18"/>
              </w:rPr>
              <w:t>12.21-12.27</w:t>
            </w:r>
          </w:p>
        </w:tc>
        <w:tc>
          <w:tcPr>
            <w:tcW w:w="466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总复习</w:t>
            </w:r>
          </w:p>
        </w:tc>
        <w:tc>
          <w:tcPr>
            <w:tcW w:w="1316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ascii="华文仿宋" w:hAnsi="华文仿宋" w:eastAsia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extDirection w:val="lrTb"/>
            <w:vAlign w:val="center"/>
          </w:tcPr>
          <w:p>
            <w:pPr>
              <w:widowControl/>
              <w:rPr>
                <w:rFonts w:ascii="华文仿宋" w:hAnsi="华文仿宋" w:eastAsia="华文仿宋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六、课程教学方法（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>Pedagogieal methods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）</w:t>
      </w:r>
    </w:p>
    <w:tbl>
      <w:tblPr>
        <w:tblW w:w="98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496" w:type="dxa"/>
            <w:vMerge w:val="restart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教学方法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华文仿宋" w:hAnsi="华文仿宋" w:eastAsia="华文仿宋"/>
                <w:lang w:eastAsia="zh-TW"/>
              </w:rPr>
              <w:t>Pedagogical Methods</w:t>
            </w:r>
          </w:p>
        </w:tc>
        <w:tc>
          <w:tcPr>
            <w:tcW w:w="1797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</w:t>
            </w:r>
            <w:r>
              <w:rPr>
                <w:rFonts w:ascii="华文仿宋" w:hAnsi="华文仿宋" w:eastAsia="华文仿宋"/>
              </w:rPr>
              <w:t>Method</w:t>
            </w:r>
          </w:p>
        </w:tc>
        <w:tc>
          <w:tcPr>
            <w:tcW w:w="891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%</w:t>
            </w:r>
          </w:p>
        </w:tc>
        <w:tc>
          <w:tcPr>
            <w:tcW w:w="1909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</w:t>
            </w:r>
            <w:r>
              <w:rPr>
                <w:rFonts w:ascii="华文仿宋" w:hAnsi="华文仿宋" w:eastAsia="华文仿宋"/>
              </w:rPr>
              <w:t>Method</w:t>
            </w:r>
          </w:p>
        </w:tc>
        <w:tc>
          <w:tcPr>
            <w:tcW w:w="927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%</w:t>
            </w:r>
          </w:p>
        </w:tc>
        <w:tc>
          <w:tcPr>
            <w:tcW w:w="1905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</w:t>
            </w:r>
            <w:r>
              <w:rPr>
                <w:rFonts w:ascii="华文仿宋" w:hAnsi="华文仿宋" w:eastAsia="华文仿宋"/>
              </w:rPr>
              <w:t>Method</w:t>
            </w:r>
          </w:p>
        </w:tc>
        <w:tc>
          <w:tcPr>
            <w:tcW w:w="929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571"/>
                <w:kern w:val="0"/>
              </w:rPr>
              <w:t>讲</w:t>
            </w:r>
            <w:r>
              <w:rPr>
                <w:rFonts w:hint="eastAsia" w:ascii="华文仿宋" w:hAnsi="华文仿宋" w:eastAsia="华文仿宋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75</w:t>
            </w:r>
          </w:p>
        </w:tc>
        <w:tc>
          <w:tcPr>
            <w:tcW w:w="1909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>题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>讲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>座</w:t>
            </w:r>
          </w:p>
        </w:tc>
        <w:tc>
          <w:tcPr>
            <w:tcW w:w="92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0</w:t>
            </w:r>
          </w:p>
        </w:tc>
        <w:tc>
          <w:tcPr>
            <w:tcW w:w="1905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>堂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>讨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>论</w:t>
            </w:r>
          </w:p>
        </w:tc>
        <w:tc>
          <w:tcPr>
            <w:tcW w:w="929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案例研</w:t>
            </w:r>
            <w:r>
              <w:rPr>
                <w:rFonts w:hint="eastAsia" w:ascii="华文仿宋" w:hAnsi="华文仿宋" w:eastAsia="华文仿宋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0</w:t>
            </w:r>
          </w:p>
        </w:tc>
        <w:tc>
          <w:tcPr>
            <w:tcW w:w="1909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5"/>
                <w:kern w:val="0"/>
              </w:rPr>
              <w:t>校外参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访</w:t>
            </w:r>
          </w:p>
        </w:tc>
        <w:tc>
          <w:tcPr>
            <w:tcW w:w="92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0</w:t>
            </w:r>
          </w:p>
        </w:tc>
        <w:tc>
          <w:tcPr>
            <w:tcW w:w="1905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模拟（情景）教学</w:t>
            </w:r>
          </w:p>
        </w:tc>
        <w:tc>
          <w:tcPr>
            <w:tcW w:w="929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实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>验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室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实训</w:t>
            </w:r>
          </w:p>
        </w:tc>
        <w:tc>
          <w:tcPr>
            <w:tcW w:w="891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0</w:t>
            </w:r>
          </w:p>
        </w:tc>
        <w:tc>
          <w:tcPr>
            <w:tcW w:w="1909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企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>业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>实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>习</w:t>
            </w:r>
          </w:p>
        </w:tc>
        <w:tc>
          <w:tcPr>
            <w:tcW w:w="92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0</w:t>
            </w:r>
          </w:p>
        </w:tc>
        <w:tc>
          <w:tcPr>
            <w:tcW w:w="1905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阅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>读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>指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>导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实践教</w:t>
            </w:r>
            <w:r>
              <w:rPr>
                <w:rFonts w:hint="eastAsia" w:ascii="华文仿宋" w:hAnsi="华文仿宋" w:eastAsia="华文仿宋"/>
                <w:kern w:val="0"/>
              </w:rPr>
              <w:t>学</w:t>
            </w:r>
          </w:p>
        </w:tc>
        <w:tc>
          <w:tcPr>
            <w:tcW w:w="891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15</w:t>
            </w:r>
          </w:p>
        </w:tc>
        <w:tc>
          <w:tcPr>
            <w:tcW w:w="1909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社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>会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>调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>查</w:t>
            </w:r>
          </w:p>
        </w:tc>
        <w:tc>
          <w:tcPr>
            <w:tcW w:w="92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0</w:t>
            </w:r>
          </w:p>
        </w:tc>
        <w:tc>
          <w:tcPr>
            <w:tcW w:w="1905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625"/>
                <w:kern w:val="0"/>
              </w:rPr>
              <w:t>其</w:t>
            </w:r>
            <w:r>
              <w:rPr>
                <w:rFonts w:hint="eastAsia" w:ascii="华文仿宋" w:hAnsi="华文仿宋" w:eastAsia="华文仿宋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891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854" w:type="dxa"/>
            <w:gridSpan w:val="7"/>
            <w:tcBorders>
              <w:left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 w:val="20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说明：</w:t>
            </w:r>
            <w:r>
              <w:rPr>
                <w:rFonts w:ascii="华文仿宋" w:hAnsi="华文仿宋" w:eastAsia="华文仿宋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54" w:type="dxa"/>
            <w:gridSpan w:val="7"/>
            <w:textDirection w:val="lrTb"/>
            <w:vAlign w:val="center"/>
          </w:tcPr>
          <w:p>
            <w:pPr>
              <w:spacing w:line="280" w:lineRule="exact"/>
              <w:ind w:left="31680" w:hangingChars="400" w:firstLine="31680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  <w:r>
              <w:rPr>
                <w:rFonts w:hint="eastAsia" w:ascii="华文仿宋" w:hAnsi="华文仿宋" w:eastAsia="华文仿宋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hAnsi="华文仿宋" w:eastAsia="华文仿宋"/>
                <w:sz w:val="20"/>
                <w:szCs w:val="20"/>
              </w:rPr>
              <w:t>0</w:t>
            </w:r>
            <w:r>
              <w:rPr>
                <w:rFonts w:hint="eastAsia" w:ascii="华文仿宋" w:hAnsi="华文仿宋" w:eastAsia="华文仿宋"/>
                <w:sz w:val="20"/>
                <w:szCs w:val="20"/>
              </w:rPr>
              <w:t>”。各项总合须等于</w:t>
            </w:r>
            <w:r>
              <w:rPr>
                <w:rFonts w:ascii="华文仿宋" w:hAnsi="华文仿宋" w:eastAsia="华文仿宋"/>
                <w:sz w:val="20"/>
                <w:szCs w:val="20"/>
              </w:rPr>
              <w:t xml:space="preserve">100%                           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七、教材及相关阅读资料（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>Text books and other readings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8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选用教材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Course Material</w:t>
            </w:r>
          </w:p>
        </w:tc>
        <w:tc>
          <w:tcPr>
            <w:tcW w:w="8398" w:type="dxa"/>
            <w:textDirection w:val="lrTb"/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《微积分》赵树嫄主编，中国人民大学出版社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866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参考教材及文献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Reference</w:t>
            </w:r>
          </w:p>
        </w:tc>
        <w:tc>
          <w:tcPr>
            <w:tcW w:w="8398" w:type="dxa"/>
            <w:textDirection w:val="lrTb"/>
            <w:vAlign w:val="center"/>
          </w:tcPr>
          <w:p>
            <w:pPr>
              <w:jc w:val="left"/>
              <w:rPr>
                <w:rFonts w:ascii="华文仿宋" w:eastAsia="华文仿宋"/>
              </w:rPr>
            </w:pPr>
            <w:r>
              <w:rPr>
                <w:rFonts w:hint="eastAsia" w:ascii="华文仿宋" w:hAnsi="华文仿宋"/>
              </w:rPr>
              <w:t>《高等数学》第六版同济大学编写，高等教育出版社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八、课程要求（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>Course partiation requirement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先修课程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Prerequisite Course</w:t>
            </w:r>
          </w:p>
        </w:tc>
        <w:tc>
          <w:tcPr>
            <w:tcW w:w="8398" w:type="dxa"/>
            <w:gridSpan w:val="8"/>
            <w:textDirection w:val="lrTb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高中数学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课前预习方法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Cs w:val="21"/>
              </w:rPr>
              <w:t>Preview methods</w:t>
            </w:r>
          </w:p>
        </w:tc>
        <w:tc>
          <w:tcPr>
            <w:tcW w:w="8398" w:type="dxa"/>
            <w:gridSpan w:val="8"/>
            <w:textDirection w:val="lrTb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自学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楷体_GB2312" w:hAnsi="华文仿宋" w:eastAsia="楷体_GB2312"/>
              </w:rPr>
              <w:t>√</w:t>
            </w:r>
            <w:r>
              <w:rPr>
                <w:rFonts w:hint="eastAsia" w:ascii="华文仿宋" w:hAnsi="华文仿宋" w:eastAsia="华文仿宋"/>
              </w:rPr>
              <w:t>□中文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外语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  <w:tc>
          <w:tcPr>
            <w:tcW w:w="1701" w:type="dxa"/>
            <w:gridSpan w:val="2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教材语言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楷体_GB2312" w:hAnsi="华文仿宋" w:eastAsia="楷体_GB2312"/>
              </w:rPr>
              <w:t>√</w:t>
            </w:r>
            <w:r>
              <w:rPr>
                <w:rFonts w:hint="eastAsia" w:ascii="华文仿宋" w:hAnsi="华文仿宋" w:eastAsia="华文仿宋"/>
              </w:rPr>
              <w:t>□中文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外语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866" w:type="dxa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考核方式</w:t>
            </w:r>
          </w:p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jc w:val="lef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闭卷</w:t>
            </w:r>
            <w:r>
              <w:rPr>
                <w:rFonts w:hint="eastAsia" w:ascii="楷体_GB2312" w:hAnsi="华文仿宋" w:eastAsia="楷体_GB2312"/>
              </w:rPr>
              <w:t>√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开卷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全过程考核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论文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口试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面试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随堂</w:t>
            </w:r>
            <w:r>
              <w:rPr>
                <w:rFonts w:hint="eastAsia" w:ascii="华文仿宋" w:hAnsi="华文仿宋" w:eastAsia="华文仿宋"/>
              </w:rPr>
              <w:t>测验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机考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大作业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866" w:type="dxa"/>
            <w:vMerge w:val="restart"/>
            <w:tcBorders>
              <w:top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课堂控制</w:t>
            </w: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10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5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课堂测验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调研报告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（含小组和个人）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期末考试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期中考试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66" w:type="dxa"/>
            <w:vMerge w:val="continue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其他（请说明）</w:t>
            </w:r>
          </w:p>
        </w:tc>
        <w:tc>
          <w:tcPr>
            <w:tcW w:w="63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866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说明</w:t>
            </w:r>
          </w:p>
        </w:tc>
        <w:tc>
          <w:tcPr>
            <w:tcW w:w="8398" w:type="dxa"/>
            <w:gridSpan w:val="8"/>
            <w:textDirection w:val="lrTb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1.</w:t>
            </w:r>
            <w:r>
              <w:rPr>
                <w:rFonts w:hint="eastAsia" w:ascii="华文琥珀" w:hAnsi="华文仿宋" w:eastAsia="华文琥珀"/>
                <w:sz w:val="24"/>
              </w:rPr>
              <w:t>专业课（含必修和选修）须布置专题小论文或调研报告至少一次，不能为“</w:t>
            </w:r>
            <w:r>
              <w:rPr>
                <w:rFonts w:ascii="华文琥珀" w:hAnsi="华文仿宋" w:eastAsia="华文琥珀"/>
                <w:sz w:val="24"/>
              </w:rPr>
              <w:t>0</w:t>
            </w:r>
            <w:r>
              <w:rPr>
                <w:rFonts w:hint="eastAsia" w:ascii="华文琥珀" w:hAnsi="华文仿宋" w:eastAsia="华文琥珀"/>
                <w:sz w:val="24"/>
              </w:rPr>
              <w:t>”</w:t>
            </w:r>
          </w:p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2.</w:t>
            </w:r>
            <w:r>
              <w:rPr>
                <w:rFonts w:hint="eastAsia" w:ascii="华文仿宋" w:hAnsi="华文仿宋" w:eastAsia="华文仿宋"/>
              </w:rPr>
              <w:t>非课堂控制方法则填写“</w:t>
            </w:r>
            <w:r>
              <w:rPr>
                <w:rFonts w:ascii="华文仿宋" w:hAnsi="华文仿宋" w:eastAsia="华文仿宋"/>
              </w:rPr>
              <w:t>0</w:t>
            </w:r>
            <w:r>
              <w:rPr>
                <w:rFonts w:hint="eastAsia" w:ascii="华文仿宋" w:hAnsi="华文仿宋" w:eastAsia="华文仿宋"/>
              </w:rPr>
              <w:t>”，如全过程考核课程没有期末考试，则在次数中填写“</w:t>
            </w:r>
            <w:r>
              <w:rPr>
                <w:rFonts w:ascii="华文仿宋" w:hAnsi="华文仿宋" w:eastAsia="华文仿宋"/>
              </w:rPr>
              <w:t>0</w:t>
            </w:r>
            <w:r>
              <w:rPr>
                <w:rFonts w:hint="eastAsia" w:ascii="华文仿宋" w:hAnsi="华文仿宋" w:eastAsia="华文仿宋"/>
              </w:rPr>
              <w:t>”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九、成绩评价（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>Assessment and grading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）</w:t>
      </w:r>
    </w:p>
    <w:tbl>
      <w:tblPr>
        <w:tblW w:w="99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restart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成绩评价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ascii="华文仿宋" w:hAnsi="华文仿宋" w:eastAsia="华文仿宋"/>
              </w:rPr>
              <w:t>Method</w:t>
            </w:r>
          </w:p>
        </w:tc>
        <w:tc>
          <w:tcPr>
            <w:tcW w:w="755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45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ascii="华文仿宋" w:hAnsi="华文仿宋" w:eastAsia="华文仿宋"/>
              </w:rPr>
              <w:t>Method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98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ascii="华文仿宋" w:hAnsi="华文仿宋" w:eastAsia="华文仿宋"/>
              </w:rPr>
              <w:t>Method</w:t>
            </w:r>
          </w:p>
        </w:tc>
        <w:tc>
          <w:tcPr>
            <w:tcW w:w="1441" w:type="dxa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755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案例分析报告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实验室实训</w:t>
            </w:r>
          </w:p>
        </w:tc>
        <w:tc>
          <w:tcPr>
            <w:tcW w:w="1441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课堂出勤</w:t>
            </w:r>
          </w:p>
        </w:tc>
        <w:tc>
          <w:tcPr>
            <w:tcW w:w="755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20</w:t>
            </w:r>
          </w:p>
        </w:tc>
        <w:tc>
          <w:tcPr>
            <w:tcW w:w="1945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课堂测验</w:t>
            </w:r>
          </w:p>
        </w:tc>
        <w:tc>
          <w:tcPr>
            <w:tcW w:w="1441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期中考试</w:t>
            </w:r>
          </w:p>
        </w:tc>
        <w:tc>
          <w:tcPr>
            <w:tcW w:w="755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期末考试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50</w:t>
            </w:r>
          </w:p>
        </w:tc>
        <w:tc>
          <w:tcPr>
            <w:tcW w:w="1998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面试或口试</w:t>
            </w:r>
          </w:p>
        </w:tc>
        <w:tc>
          <w:tcPr>
            <w:tcW w:w="1441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课堂讨论书面报告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55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课堂讨论口头报告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</w:t>
            </w:r>
            <w:r>
              <w:rPr>
                <w:rFonts w:ascii="华文仿宋" w:hAnsi="华文仿宋" w:eastAsia="华文仿宋"/>
                <w:szCs w:val="21"/>
              </w:rPr>
              <w:t xml:space="preserve">  </w:t>
            </w:r>
            <w:r>
              <w:rPr>
                <w:rFonts w:hint="eastAsia" w:ascii="华文仿宋" w:hAnsi="华文仿宋" w:eastAsia="华文仿宋"/>
                <w:szCs w:val="21"/>
              </w:rPr>
              <w:t>业</w:t>
            </w:r>
          </w:p>
        </w:tc>
        <w:tc>
          <w:tcPr>
            <w:tcW w:w="1441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参加竞赛</w:t>
            </w:r>
          </w:p>
        </w:tc>
        <w:tc>
          <w:tcPr>
            <w:tcW w:w="755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展演</w:t>
            </w:r>
          </w:p>
        </w:tc>
        <w:tc>
          <w:tcPr>
            <w:tcW w:w="780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98" w:type="dxa"/>
            <w:vMerge w:val="continue"/>
            <w:textDirection w:val="lrTb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textDirection w:val="lrTb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说明：学生若有与课程相关的论文发表，教师可视情况给予成绩认定。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098" w:type="dxa"/>
            <w:vMerge w:val="continue"/>
            <w:textDirection w:val="lrTb"/>
            <w:vAlign w:val="center"/>
          </w:tcPr>
          <w:p>
            <w:pPr>
              <w:spacing w:line="280" w:lineRule="exact"/>
              <w:jc w:val="righ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textDirection w:val="lrTb"/>
            <w:vAlign w:val="center"/>
          </w:tcPr>
          <w:p>
            <w:pPr>
              <w:spacing w:line="280" w:lineRule="exact"/>
              <w:ind w:left="31680" w:hangingChars="350" w:firstLine="31680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hAnsi="华文仿宋" w:eastAsia="华文仿宋"/>
                <w:szCs w:val="21"/>
              </w:rPr>
              <w:t>0</w:t>
            </w:r>
            <w:r>
              <w:rPr>
                <w:rFonts w:hint="eastAsia" w:ascii="华文仿宋" w:hAnsi="华文仿宋" w:eastAsia="华文仿宋"/>
                <w:szCs w:val="21"/>
              </w:rPr>
              <w:t>。各项总合须等于</w:t>
            </w:r>
            <w:r>
              <w:rPr>
                <w:rFonts w:ascii="华文仿宋" w:hAnsi="华文仿宋" w:eastAsia="华文仿宋"/>
                <w:szCs w:val="21"/>
              </w:rPr>
              <w:t>100%</w:t>
            </w:r>
          </w:p>
        </w:tc>
      </w:tr>
    </w:tbl>
    <w:p>
      <w:pPr>
        <w:pStyle w:val="6"/>
        <w:ind w:firstLine="0" w:firstLineChars="0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十、对最终成绩有不同意见时的处理解决方案（</w:t>
      </w:r>
      <w:r>
        <w:rPr>
          <w:rFonts w:ascii="华文仿宋" w:hAnsi="华文仿宋" w:eastAsia="华文仿宋"/>
          <w:b/>
          <w:bCs/>
          <w:sz w:val="24"/>
          <w:szCs w:val="24"/>
        </w:rPr>
        <w:t>Grade Dispute Policy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）</w:t>
      </w:r>
    </w:p>
    <w:tbl>
      <w:tblPr>
        <w:tblW w:w="9434" w:type="dxa"/>
        <w:jc w:val="center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9434" w:type="dxa"/>
            <w:textDirection w:val="lrTb"/>
            <w:vAlign w:val="top"/>
          </w:tcPr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及时与学生本人进行交流、沟通，及时处理学生的意见。</w:t>
            </w:r>
          </w:p>
        </w:tc>
      </w:tr>
    </w:tbl>
    <w:p>
      <w:pPr>
        <w:jc w:val="left"/>
      </w:pPr>
    </w:p>
    <w:sectPr>
      <w:headerReference r:id="rId10" w:type="default"/>
      <w:pgSz w:w="11906" w:h="16838"/>
      <w:pgMar w:top="1440" w:right="1800" w:bottom="1135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libri">
    <w:altName w:val="微软雅黑"/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华文仿宋">
    <w:altName w:val="仿宋_GB2312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altName w:val="仿宋_GB2312"/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0" w:name="index 1" w:locked="1"/>
    <w:lsdException w:uiPriority="0" w:name="index 2" w:locked="1"/>
    <w:lsdException w:uiPriority="0" w:name="index 3" w:locked="1"/>
    <w:lsdException w:uiPriority="0" w:name="index 4" w:locked="1"/>
    <w:lsdException w:uiPriority="0" w:name="index 5" w:locked="1"/>
    <w:lsdException w:uiPriority="0" w:name="index 6" w:locked="1"/>
    <w:lsdException w:uiPriority="0" w:name="index 7" w:locked="1"/>
    <w:lsdException w:uiPriority="0" w:name="index 8" w:locked="1"/>
    <w:lsdException w:uiPriority="0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0" w:name="Normal Indent" w:locked="1"/>
    <w:lsdException w:uiPriority="0" w:name="footnote text" w:locked="1"/>
    <w:lsdException w:uiPriority="0" w:name="annotation text" w:locked="1"/>
    <w:lsdException w:unhideWhenUsed="0" w:uiPriority="99" w:semiHidden="0" w:name="header"/>
    <w:lsdException w:unhideWhenUsed="0" w:uiPriority="99" w:semiHidden="0" w:name="footer"/>
    <w:lsdException w:uiPriority="0" w:name="index heading" w:locked="1"/>
    <w:lsdException w:qFormat="1" w:uiPriority="35" w:name="caption" w:locked="1"/>
    <w:lsdException w:uiPriority="0" w:name="table of figures" w:locked="1"/>
    <w:lsdException w:uiPriority="0" w:name="envelope address" w:locked="1"/>
    <w:lsdException w:uiPriority="0" w:name="envelope return" w:locked="1"/>
    <w:lsdException w:uiPriority="0" w:name="footnote reference" w:locked="1"/>
    <w:lsdException w:uiPriority="0" w:name="annotation reference" w:locked="1"/>
    <w:lsdException w:uiPriority="0" w:name="line number" w:locked="1"/>
    <w:lsdException w:uiPriority="0" w:name="page number" w:locked="1"/>
    <w:lsdException w:uiPriority="0" w:name="endnote reference" w:locked="1"/>
    <w:lsdException w:uiPriority="0" w:name="endnote text" w:locked="1"/>
    <w:lsdException w:uiPriority="0" w:name="table of authorities" w:locked="1"/>
    <w:lsdException w:uiPriority="0" w:name="macro" w:locked="1"/>
    <w:lsdException w:uiPriority="0" w:name="toa heading" w:locked="1"/>
    <w:lsdException w:uiPriority="0" w:name="List" w:locked="1"/>
    <w:lsdException w:uiPriority="0" w:name="List Bullet" w:locked="1"/>
    <w:lsdException w:uiPriority="0" w:name="List Number" w:locked="1"/>
    <w:lsdException w:uiPriority="0" w:name="List 2" w:locked="1"/>
    <w:lsdException w:uiPriority="0" w:name="List 3" w:locked="1"/>
    <w:lsdException w:uiPriority="0" w:name="List 4" w:locked="1"/>
    <w:lsdException w:uiPriority="0" w:name="List 5" w:locked="1"/>
    <w:lsdException w:uiPriority="0" w:name="List Bullet 2" w:locked="1"/>
    <w:lsdException w:uiPriority="0" w:name="List Bullet 3" w:locked="1"/>
    <w:lsdException w:uiPriority="0" w:name="List Bullet 4" w:locked="1"/>
    <w:lsdException w:uiPriority="0" w:name="List Bullet 5" w:locked="1"/>
    <w:lsdException w:uiPriority="0" w:name="List Number 2" w:locked="1"/>
    <w:lsdException w:uiPriority="0" w:name="List Number 3" w:locked="1"/>
    <w:lsdException w:uiPriority="0" w:name="List Number 4" w:locked="1"/>
    <w:lsdException w:uiPriority="0" w:name="List Number 5" w:locked="1"/>
    <w:lsdException w:qFormat="1" w:unhideWhenUsed="0" w:uiPriority="10" w:semiHidden="0" w:name="Title" w:locked="1"/>
    <w:lsdException w:uiPriority="0" w:name="Closing" w:locked="1"/>
    <w:lsdException w:uiPriority="0" w:name="Signature" w:locked="1"/>
    <w:lsdException w:unhideWhenUsed="0" w:uiPriority="99" w:name="Default Paragraph Font"/>
    <w:lsdException w:uiPriority="0" w:name="Body Text" w:locked="1"/>
    <w:lsdException w:uiPriority="0" w:name="Body Text Indent" w:locked="1"/>
    <w:lsdException w:uiPriority="0" w:name="List Continue" w:locked="1"/>
    <w:lsdException w:uiPriority="0" w:name="List Continue 2" w:locked="1"/>
    <w:lsdException w:uiPriority="0" w:name="List Continue 3" w:locked="1"/>
    <w:lsdException w:uiPriority="0" w:name="List Continue 4" w:locked="1"/>
    <w:lsdException w:uiPriority="0" w:name="List Continue 5" w:locked="1"/>
    <w:lsdException w:uiPriority="0" w:name="Message Header" w:locked="1"/>
    <w:lsdException w:qFormat="1" w:unhideWhenUsed="0" w:uiPriority="11" w:semiHidden="0" w:name="Subtitle" w:locked="1"/>
    <w:lsdException w:uiPriority="0" w:name="Salutation" w:locked="1"/>
    <w:lsdException w:uiPriority="0" w:name="Date" w:locked="1"/>
    <w:lsdException w:uiPriority="0" w:name="Body Text First Indent" w:locked="1"/>
    <w:lsdException w:uiPriority="0" w:name="Body Text First Indent 2" w:locked="1"/>
    <w:lsdException w:uiPriority="0" w:name="Note Heading" w:locked="1"/>
    <w:lsdException w:uiPriority="0" w:name="Body Text 2" w:locked="1"/>
    <w:lsdException w:uiPriority="0" w:name="Body Text 3" w:locked="1"/>
    <w:lsdException w:uiPriority="0" w:name="Body Text Indent 2" w:locked="1"/>
    <w:lsdException w:uiPriority="0" w:name="Body Text Indent 3" w:locked="1"/>
    <w:lsdException w:uiPriority="0" w:name="Block Text" w:locked="1"/>
    <w:lsdException w:uiPriority="0" w:name="Hyperlink" w:locked="1"/>
    <w:lsdException w:uiPriority="0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0" w:name="Document Map" w:locked="1"/>
    <w:lsdException w:uiPriority="0" w:name="Plain Text" w:locked="1"/>
    <w:lsdException w:uiPriority="0" w:name="E-mail Signature" w:locked="1"/>
    <w:lsdException w:uiPriority="0" w:name="Normal (Web)" w:locked="1"/>
    <w:lsdException w:uiPriority="0" w:name="HTML Acronym" w:locked="1"/>
    <w:lsdException w:uiPriority="0" w:name="HTML Address" w:locked="1"/>
    <w:lsdException w:uiPriority="0" w:name="HTML Cite" w:locked="1"/>
    <w:lsdException w:uiPriority="0" w:name="HTML Code" w:locked="1"/>
    <w:lsdException w:uiPriority="0" w:name="HTML Definition" w:locked="1"/>
    <w:lsdException w:uiPriority="0" w:name="HTML Keyboard" w:locked="1"/>
    <w:lsdException w:uiPriority="0" w:name="HTML Preformatted" w:locked="1"/>
    <w:lsdException w:uiPriority="0" w:name="HTML Sample" w:locked="1"/>
    <w:lsdException w:uiPriority="0" w:name="HTML Typewriter" w:locked="1"/>
    <w:lsdException w:uiPriority="0" w:name="HTML Variable" w:locked="1"/>
    <w:lsdException w:uiPriority="0" w:name="annotation subject" w:locked="1"/>
    <w:lsdException w:unhideWhenUsed="0" w:uiPriority="99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paragraph" w:styleId="2">
    <w:name w:val="Balloon Text"/>
    <w:basedOn w:val="1"/>
    <w:link w:val="7"/>
    <w:uiPriority w:val="99"/>
    <w:rPr>
      <w:rFonts w:ascii="Times New Roman" w:hAnsi="Times New Roman"/>
      <w:kern w:val="0"/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出段落1"/>
    <w:basedOn w:val="1"/>
    <w:uiPriority w:val="99"/>
    <w:pPr>
      <w:ind w:firstLine="420" w:firstLineChars="200"/>
    </w:pPr>
  </w:style>
  <w:style w:type="character" w:customStyle="1" w:styleId="7">
    <w:name w:val="Balloon Text Char"/>
    <w:basedOn w:val="5"/>
    <w:link w:val="2"/>
    <w:semiHidden/>
    <w:locked/>
    <w:uiPriority w:val="99"/>
    <w:rPr>
      <w:rFonts w:cs="Times New Roman"/>
      <w:sz w:val="18"/>
    </w:rPr>
  </w:style>
  <w:style w:type="character" w:customStyle="1" w:styleId="8">
    <w:name w:val="Footer Char"/>
    <w:basedOn w:val="5"/>
    <w:link w:val="3"/>
    <w:locked/>
    <w:uiPriority w:val="99"/>
    <w:rPr>
      <w:rFonts w:cs="Times New Roman"/>
      <w:sz w:val="18"/>
    </w:rPr>
  </w:style>
  <w:style w:type="character" w:customStyle="1" w:styleId="9">
    <w:name w:val="Header Char"/>
    <w:basedOn w:val="5"/>
    <w:link w:val="4"/>
    <w:locked/>
    <w:uiPriority w:val="99"/>
    <w:rPr>
      <w:rFonts w:cs="Times New Roman"/>
      <w:sz w:val="18"/>
    </w:rPr>
  </w:style>
  <w:style w:type="character" w:customStyle="1" w:styleId="10">
    <w:name w:val="f141"/>
    <w:uiPriority w:val="99"/>
    <w:rPr>
      <w:sz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header" Target="header4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613</Words>
  <Characters>3497</Characters>
  <Lines>0</Lines>
  <Paragraphs>0</Paragraphs>
  <ScaleCrop>false</ScaleCrop>
  <LinksUpToDate>false</LinksUpToDate>
  <CharactersWithSpaces>0</CharactersWithSpaces>
  <Application>WPS Office 个人版_9.1.0.4429_{F1E327BC-269C-435d-A152-05C5408002CA}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2014-12-10T02:08:00Z</dcterms:created>
  <dc:creator>张双喜</dc:creator>
  <cp:lastModifiedBy>Administrator</cp:lastModifiedBy>
  <cp:lastPrinted>2015-09-06T23:45:03Z</cp:lastPrinted>
  <dcterms:modified xsi:type="dcterms:W3CDTF">2015-09-06T23:46:41Z</dcterms:modified>
  <dc:title>《课程名称》课程教学提纲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